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A5F4" w14:textId="77777777" w:rsidR="00521F34" w:rsidRPr="00521F34" w:rsidRDefault="00521F34" w:rsidP="00521F34">
      <w:pPr>
        <w:shd w:val="clear" w:color="auto" w:fill="F6F6F6"/>
        <w:spacing w:after="0" w:line="240" w:lineRule="atLeast"/>
        <w:ind w:left="-360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u w:val="single"/>
        </w:rPr>
      </w:pPr>
      <w:r w:rsidRPr="00521F34">
        <w:rPr>
          <w:rFonts w:ascii="Arial" w:eastAsia="Times New Roman" w:hAnsi="Arial" w:cs="Arial"/>
          <w:b/>
          <w:kern w:val="36"/>
          <w:sz w:val="36"/>
          <w:szCs w:val="36"/>
          <w:u w:val="single"/>
        </w:rPr>
        <w:t>Repealing and Replacing the Sustainable Growth Rate</w:t>
      </w:r>
    </w:p>
    <w:p w14:paraId="30234BBF" w14:textId="77777777" w:rsidR="00521F34" w:rsidRDefault="00521F34" w:rsidP="00521F34">
      <w:pPr>
        <w:shd w:val="clear" w:color="auto" w:fill="F6F6F6"/>
        <w:spacing w:after="0" w:line="240" w:lineRule="atLeast"/>
        <w:ind w:left="-360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551DAA83" w14:textId="77777777" w:rsidR="000F49CA" w:rsidRPr="00521F34" w:rsidRDefault="000F49CA" w:rsidP="00521F34">
      <w:pPr>
        <w:shd w:val="clear" w:color="auto" w:fill="F6F6F6"/>
        <w:spacing w:after="0" w:line="240" w:lineRule="atLeast"/>
        <w:ind w:left="-360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bookmarkStart w:id="0" w:name="_GoBack"/>
      <w:bookmarkEnd w:id="0"/>
    </w:p>
    <w:p w14:paraId="6E235268" w14:textId="77777777" w:rsidR="00521F34" w:rsidRPr="00521F34" w:rsidRDefault="00521F34" w:rsidP="00521F34">
      <w:pPr>
        <w:numPr>
          <w:ilvl w:val="0"/>
          <w:numId w:val="1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The Sustainable Growth Rate (SGR) formula is a budget cap passed into law in 1997 to control physician spending, but it has failed to work.</w:t>
      </w:r>
    </w:p>
    <w:p w14:paraId="5C1D526C" w14:textId="77777777" w:rsidR="00521F34" w:rsidRPr="00521F34" w:rsidRDefault="00521F34" w:rsidP="00521F34">
      <w:pPr>
        <w:numPr>
          <w:ilvl w:val="0"/>
          <w:numId w:val="1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 xml:space="preserve">Since 2003, Congress has spent nearly $150 billion in </w:t>
      </w:r>
      <w:r w:rsidR="00024FC6">
        <w:rPr>
          <w:rFonts w:ascii="Arial" w:eastAsia="Times New Roman" w:hAnsi="Arial" w:cs="Arial"/>
          <w:sz w:val="20"/>
          <w:szCs w:val="18"/>
        </w:rPr>
        <w:t xml:space="preserve">17 </w:t>
      </w:r>
      <w:r w:rsidRPr="00521F34">
        <w:rPr>
          <w:rFonts w:ascii="Arial" w:eastAsia="Times New Roman" w:hAnsi="Arial" w:cs="Arial"/>
          <w:sz w:val="20"/>
          <w:szCs w:val="18"/>
        </w:rPr>
        <w:t>short term patches to avoid unsustainable cuts imposed by the flawed SGR. The most recent patch will expire on March 31st.</w:t>
      </w:r>
    </w:p>
    <w:p w14:paraId="6BEFCFC6" w14:textId="77777777" w:rsidR="00521F34" w:rsidRPr="00521F34" w:rsidRDefault="00521F34" w:rsidP="00521F34">
      <w:pPr>
        <w:numPr>
          <w:ilvl w:val="0"/>
          <w:numId w:val="1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Building on bipartisan legislation unanimously reported out of the House Energy &amp; Commerce and Ways &amp; Means Committees, and reported out of the Senate Finance Committee, the unified legislation from the three committees repeals the SGR and transitions Medicare away from a volume-based system towards one based on value.</w:t>
      </w:r>
    </w:p>
    <w:p w14:paraId="6A02D743" w14:textId="77777777" w:rsidR="00521F34" w:rsidRPr="00521F34" w:rsidRDefault="00521F34" w:rsidP="00521F34">
      <w:pPr>
        <w:shd w:val="clear" w:color="auto" w:fill="F6F6F6"/>
        <w:spacing w:after="0" w:line="240" w:lineRule="atLeast"/>
        <w:ind w:left="-36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b/>
          <w:bCs/>
          <w:sz w:val="20"/>
          <w:szCs w:val="18"/>
        </w:rPr>
        <w:t>Repeals the SGR and provides stability and 5 years of payment updates</w:t>
      </w:r>
    </w:p>
    <w:p w14:paraId="0A091AC2" w14:textId="77777777" w:rsidR="00521F34" w:rsidRPr="00521F34" w:rsidRDefault="00521F34" w:rsidP="00521F34">
      <w:pPr>
        <w:numPr>
          <w:ilvl w:val="0"/>
          <w:numId w:val="2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Repeals the SGR and replaces it with a system focused on quality, value, and accountability.</w:t>
      </w:r>
    </w:p>
    <w:p w14:paraId="1A5429CB" w14:textId="77777777" w:rsidR="00521F34" w:rsidRPr="00521F34" w:rsidRDefault="00521F34" w:rsidP="00521F34">
      <w:pPr>
        <w:numPr>
          <w:ilvl w:val="0"/>
          <w:numId w:val="2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Removes the imminent threat of draconian cuts to Medicare providers and ensures a 5-year period of annual updates of 0.5 percent to transition to the new system.</w:t>
      </w:r>
    </w:p>
    <w:p w14:paraId="29D415C2" w14:textId="77777777" w:rsidR="00521F34" w:rsidRPr="00521F34" w:rsidRDefault="00521F34" w:rsidP="00521F34">
      <w:pPr>
        <w:shd w:val="clear" w:color="auto" w:fill="F6F6F6"/>
        <w:spacing w:after="0" w:line="240" w:lineRule="atLeast"/>
        <w:ind w:left="-36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b/>
          <w:bCs/>
          <w:sz w:val="20"/>
          <w:szCs w:val="18"/>
        </w:rPr>
        <w:t>Improves the existing fee-for-service system by rewarding value over volume and ensuring payment accuracy</w:t>
      </w:r>
    </w:p>
    <w:p w14:paraId="4853721E" w14:textId="77777777" w:rsidR="00521F34" w:rsidRPr="00521F34" w:rsidRDefault="00521F34" w:rsidP="00521F34">
      <w:pPr>
        <w:numPr>
          <w:ilvl w:val="0"/>
          <w:numId w:val="3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Consolidates the three existing quality programs into a streamlined and improved program that rewards providers who meet performance thresholds, improve care for seniors, and provide certainty for providers.</w:t>
      </w:r>
    </w:p>
    <w:p w14:paraId="444DBD0B" w14:textId="77777777" w:rsidR="00521F34" w:rsidRPr="00521F34" w:rsidRDefault="00521F34" w:rsidP="00521F34">
      <w:pPr>
        <w:numPr>
          <w:ilvl w:val="0"/>
          <w:numId w:val="3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Incentivizes care coordination efforts for patients with chronic care needs.</w:t>
      </w:r>
    </w:p>
    <w:p w14:paraId="755A2828" w14:textId="77777777" w:rsidR="00521F34" w:rsidRPr="00521F34" w:rsidRDefault="00521F34" w:rsidP="00521F34">
      <w:pPr>
        <w:numPr>
          <w:ilvl w:val="0"/>
          <w:numId w:val="3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Requires development of quality measures and ensures close collaboration with physicians and other stakeholders regarding the measures used in the performance program.</w:t>
      </w:r>
    </w:p>
    <w:p w14:paraId="1EC38C95" w14:textId="77777777" w:rsidR="00521F34" w:rsidRPr="00521F34" w:rsidRDefault="00521F34" w:rsidP="00521F34">
      <w:pPr>
        <w:shd w:val="clear" w:color="auto" w:fill="F6F6F6"/>
        <w:spacing w:after="0" w:line="240" w:lineRule="atLeast"/>
        <w:ind w:left="-36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b/>
          <w:bCs/>
          <w:sz w:val="20"/>
          <w:szCs w:val="18"/>
        </w:rPr>
        <w:t>Incentivizes movement to alternative payment models (APMs)</w:t>
      </w:r>
    </w:p>
    <w:p w14:paraId="4EF4E1F5" w14:textId="77777777" w:rsidR="00521F34" w:rsidRPr="00521F34" w:rsidRDefault="00521F34" w:rsidP="00521F34">
      <w:pPr>
        <w:numPr>
          <w:ilvl w:val="0"/>
          <w:numId w:val="4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Provides a 5 percent bonus to providers who receive a significant portion of their revenue from an APM or patient centered medical home (PCMH).</w:t>
      </w:r>
    </w:p>
    <w:p w14:paraId="238D45D4" w14:textId="77777777" w:rsidR="00521F34" w:rsidRPr="00521F34" w:rsidRDefault="00521F34" w:rsidP="00521F34">
      <w:pPr>
        <w:numPr>
          <w:ilvl w:val="0"/>
          <w:numId w:val="4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Participants need to receive at least 25 percent of their Medicare revenue through an APM in 2018-2019. This threshold increases over time. The policy also incentivizes participation in private-payer APMs.</w:t>
      </w:r>
    </w:p>
    <w:p w14:paraId="7DBC96FA" w14:textId="77777777" w:rsidR="00521F34" w:rsidRPr="00521F34" w:rsidRDefault="00521F34" w:rsidP="00521F34">
      <w:pPr>
        <w:numPr>
          <w:ilvl w:val="0"/>
          <w:numId w:val="4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Establishes a Technical Advisory Committee (TAC) to review and recommend physician-developed APMs based on criteria developed through an open comment process.</w:t>
      </w:r>
    </w:p>
    <w:p w14:paraId="46F8E12B" w14:textId="77777777" w:rsidR="00521F34" w:rsidRPr="00521F34" w:rsidRDefault="00521F34" w:rsidP="00521F34">
      <w:pPr>
        <w:shd w:val="clear" w:color="auto" w:fill="F6F6F6"/>
        <w:spacing w:after="240" w:line="240" w:lineRule="atLeast"/>
        <w:ind w:left="-36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b/>
          <w:bCs/>
          <w:sz w:val="20"/>
          <w:szCs w:val="18"/>
        </w:rPr>
        <w:t>Expands the use of Medicare data for transparency and quality improvement</w:t>
      </w:r>
    </w:p>
    <w:p w14:paraId="54E2FB46" w14:textId="77777777" w:rsidR="00521F34" w:rsidRPr="00521F34" w:rsidRDefault="00521F34" w:rsidP="00521F34">
      <w:pPr>
        <w:numPr>
          <w:ilvl w:val="0"/>
          <w:numId w:val="5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Posts quality and utilization data on the Physician Compare website to enable patients to make more informed decisions about their care.</w:t>
      </w:r>
    </w:p>
    <w:p w14:paraId="22CE7F4D" w14:textId="77777777" w:rsidR="00521F34" w:rsidRPr="00521F34" w:rsidRDefault="00521F34" w:rsidP="00521F34">
      <w:pPr>
        <w:numPr>
          <w:ilvl w:val="0"/>
          <w:numId w:val="5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Allows qualified entities (QEs) to provide analysis and underlying data to providers for purposes of quality improvement, subject to relevant privacy and security laws.</w:t>
      </w:r>
    </w:p>
    <w:p w14:paraId="66F682C3" w14:textId="77777777" w:rsidR="001F3ED1" w:rsidRPr="00521F34" w:rsidRDefault="00521F34" w:rsidP="00521F34">
      <w:pPr>
        <w:numPr>
          <w:ilvl w:val="0"/>
          <w:numId w:val="5"/>
        </w:numPr>
        <w:shd w:val="clear" w:color="auto" w:fill="F6F6F6"/>
        <w:spacing w:after="240" w:line="240" w:lineRule="atLeast"/>
        <w:ind w:left="0"/>
        <w:rPr>
          <w:rFonts w:ascii="Arial" w:eastAsia="Times New Roman" w:hAnsi="Arial" w:cs="Arial"/>
          <w:sz w:val="20"/>
          <w:szCs w:val="18"/>
        </w:rPr>
      </w:pPr>
      <w:r w:rsidRPr="00521F34">
        <w:rPr>
          <w:rFonts w:ascii="Arial" w:eastAsia="Times New Roman" w:hAnsi="Arial" w:cs="Arial"/>
          <w:sz w:val="20"/>
          <w:szCs w:val="18"/>
        </w:rPr>
        <w:t>Allows qualified clinical data registries to purchase claims data for purposes of quality improvement and patient safety.</w:t>
      </w:r>
    </w:p>
    <w:sectPr w:rsidR="001F3ED1" w:rsidRPr="00521F34" w:rsidSect="000F49C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F94"/>
    <w:multiLevelType w:val="multilevel"/>
    <w:tmpl w:val="50F0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52C81"/>
    <w:multiLevelType w:val="multilevel"/>
    <w:tmpl w:val="014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00306"/>
    <w:multiLevelType w:val="multilevel"/>
    <w:tmpl w:val="35E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E46AE"/>
    <w:multiLevelType w:val="multilevel"/>
    <w:tmpl w:val="A0F2F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758415BB"/>
    <w:multiLevelType w:val="multilevel"/>
    <w:tmpl w:val="96D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34"/>
    <w:rsid w:val="00024FC6"/>
    <w:rsid w:val="000F49CA"/>
    <w:rsid w:val="001649AA"/>
    <w:rsid w:val="001F3ED1"/>
    <w:rsid w:val="00521F34"/>
    <w:rsid w:val="008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1A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icklets">
    <w:name w:val="chicklets"/>
    <w:basedOn w:val="DefaultParagraphFont"/>
    <w:rsid w:val="00521F34"/>
  </w:style>
  <w:style w:type="paragraph" w:styleId="NormalWeb">
    <w:name w:val="Normal (Web)"/>
    <w:basedOn w:val="Normal"/>
    <w:uiPriority w:val="99"/>
    <w:semiHidden/>
    <w:unhideWhenUsed/>
    <w:rsid w:val="0052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icklets">
    <w:name w:val="chicklets"/>
    <w:basedOn w:val="DefaultParagraphFont"/>
    <w:rsid w:val="00521F34"/>
  </w:style>
  <w:style w:type="paragraph" w:styleId="NormalWeb">
    <w:name w:val="Normal (Web)"/>
    <w:basedOn w:val="Normal"/>
    <w:uiPriority w:val="99"/>
    <w:semiHidden/>
    <w:unhideWhenUsed/>
    <w:rsid w:val="0052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241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Trent, Josh</dc:creator>
  <cp:lastModifiedBy>icsupport</cp:lastModifiedBy>
  <cp:revision>2</cp:revision>
  <dcterms:created xsi:type="dcterms:W3CDTF">2015-03-20T15:59:00Z</dcterms:created>
  <dcterms:modified xsi:type="dcterms:W3CDTF">2015-03-20T15:59:00Z</dcterms:modified>
</cp:coreProperties>
</file>